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B4" w:rsidRPr="003866EF" w:rsidRDefault="006E0906" w:rsidP="003866EF">
      <w:pPr>
        <w:jc w:val="center"/>
        <w:rPr>
          <w:b/>
        </w:rPr>
      </w:pPr>
      <w:r>
        <w:rPr>
          <w:b/>
        </w:rPr>
        <w:t>Electron Transport Chain (ETC) T</w:t>
      </w:r>
      <w:r w:rsidR="000B14DB" w:rsidRPr="003866EF">
        <w:rPr>
          <w:b/>
        </w:rPr>
        <w:t>heatre</w:t>
      </w:r>
    </w:p>
    <w:p w:rsidR="003866EF" w:rsidRPr="003866EF" w:rsidRDefault="003866EF">
      <w:pPr>
        <w:rPr>
          <w:b/>
        </w:rPr>
      </w:pPr>
      <w:r w:rsidRPr="003866EF">
        <w:rPr>
          <w:b/>
        </w:rPr>
        <w:t>Summary</w:t>
      </w:r>
    </w:p>
    <w:p w:rsidR="000B14DB" w:rsidRDefault="000B14DB">
      <w:r>
        <w:t xml:space="preserve">This activity uses role plays to demonstrate the principles of electron transport chains and energy production in oxidative phosphorylation. </w:t>
      </w:r>
    </w:p>
    <w:p w:rsidR="000B14DB" w:rsidRDefault="000B14DB">
      <w:r w:rsidRPr="003866EF">
        <w:rPr>
          <w:b/>
        </w:rPr>
        <w:t>Pre activity</w:t>
      </w:r>
      <w:r>
        <w:t>: a video on oxidative phosphorylation (not required)</w:t>
      </w:r>
    </w:p>
    <w:p w:rsidR="000B14DB" w:rsidRDefault="000B14DB">
      <w:r w:rsidRPr="003866EF">
        <w:rPr>
          <w:b/>
        </w:rPr>
        <w:t>Class size:</w:t>
      </w:r>
      <w:r>
        <w:t xml:space="preserve"> 10-60 students</w:t>
      </w:r>
    </w:p>
    <w:p w:rsidR="00427D4E" w:rsidRPr="003866EF" w:rsidRDefault="000B14DB">
      <w:pPr>
        <w:rPr>
          <w:b/>
        </w:rPr>
      </w:pPr>
      <w:r w:rsidRPr="003866EF">
        <w:rPr>
          <w:b/>
        </w:rPr>
        <w:t xml:space="preserve">Materials needed: </w:t>
      </w:r>
    </w:p>
    <w:p w:rsidR="00427D4E" w:rsidRDefault="001309D2" w:rsidP="003866EF">
      <w:pPr>
        <w:pStyle w:val="ListParagraph"/>
        <w:numPr>
          <w:ilvl w:val="0"/>
          <w:numId w:val="3"/>
        </w:numPr>
      </w:pPr>
      <w:r>
        <w:t>Coins or poker chips</w:t>
      </w:r>
      <w:r w:rsidR="00427D4E">
        <w:t>: as electrons</w:t>
      </w:r>
    </w:p>
    <w:p w:rsidR="000B14DB" w:rsidRDefault="000B14DB">
      <w:r w:rsidRPr="003866EF">
        <w:rPr>
          <w:b/>
        </w:rPr>
        <w:t>Duration:</w:t>
      </w:r>
      <w:r>
        <w:t xml:space="preserve"> 30-60 min</w:t>
      </w:r>
    </w:p>
    <w:p w:rsidR="000B14DB" w:rsidRDefault="000B14DB">
      <w:r w:rsidRPr="003866EF">
        <w:rPr>
          <w:b/>
        </w:rPr>
        <w:t>Type:</w:t>
      </w:r>
      <w:r>
        <w:t xml:space="preserve"> Instructor guided role play</w:t>
      </w:r>
      <w:r w:rsidR="003866EF">
        <w:t>; TBL format questions</w:t>
      </w:r>
    </w:p>
    <w:p w:rsidR="00202639" w:rsidRDefault="00202639">
      <w:r w:rsidRPr="003866EF">
        <w:rPr>
          <w:b/>
        </w:rPr>
        <w:t>Key concepts</w:t>
      </w:r>
      <w:r>
        <w:t xml:space="preserve">: oxidation and reduction, electron transport chain, free energy, electrons, endergonic and exergonic, electron carriers, ATP </w:t>
      </w:r>
      <w:proofErr w:type="spellStart"/>
      <w:r>
        <w:t>synthetase</w:t>
      </w:r>
      <w:proofErr w:type="spellEnd"/>
      <w:r>
        <w:t>, chemiosmosis, selective permeable membrane, mitochondrion, proton motive force</w:t>
      </w:r>
    </w:p>
    <w:p w:rsidR="00202639" w:rsidRPr="003866EF" w:rsidRDefault="00943504">
      <w:pPr>
        <w:rPr>
          <w:b/>
        </w:rPr>
      </w:pPr>
      <w:r w:rsidRPr="003866EF">
        <w:rPr>
          <w:b/>
        </w:rPr>
        <w:t>Act</w:t>
      </w:r>
      <w:r w:rsidR="00202639" w:rsidRPr="003866EF">
        <w:rPr>
          <w:b/>
        </w:rPr>
        <w:t xml:space="preserve"> 1:</w:t>
      </w:r>
      <w:r w:rsidR="00A77DF3" w:rsidRPr="003866EF">
        <w:rPr>
          <w:b/>
        </w:rPr>
        <w:t xml:space="preserve"> Redox reaction and energy release/capture</w:t>
      </w:r>
    </w:p>
    <w:p w:rsidR="003866EF" w:rsidRDefault="00A77DF3" w:rsidP="003866EF">
      <w:pPr>
        <w:pStyle w:val="ListParagraph"/>
        <w:numPr>
          <w:ilvl w:val="0"/>
          <w:numId w:val="1"/>
        </w:numPr>
      </w:pPr>
      <w:r>
        <w:t xml:space="preserve">In a group, each student represents a molecule. </w:t>
      </w:r>
      <w:r w:rsidR="00427D4E">
        <w:t xml:space="preserve">Pass </w:t>
      </w:r>
      <w:r w:rsidR="001309D2">
        <w:t>coins</w:t>
      </w:r>
      <w:r w:rsidR="00427D4E">
        <w:t xml:space="preserve"> to each group. </w:t>
      </w:r>
      <w:r>
        <w:t>Whi</w:t>
      </w:r>
      <w:r w:rsidR="001309D2">
        <w:t xml:space="preserve">le students pass the coins </w:t>
      </w:r>
      <w:r>
        <w:t xml:space="preserve">to each other, they describe </w:t>
      </w:r>
      <w:r w:rsidR="001309D2">
        <w:t>whether they are oxidized or reduced</w:t>
      </w:r>
      <w:r>
        <w:t xml:space="preserve">. </w:t>
      </w:r>
      <w:r w:rsidR="003866EF">
        <w:t>See</w:t>
      </w:r>
      <w:r w:rsidR="001309D2">
        <w:t xml:space="preserve"> </w:t>
      </w:r>
      <w:r w:rsidR="00097296" w:rsidRPr="00097296">
        <w:rPr>
          <w:u w:val="single"/>
        </w:rPr>
        <w:t>classroom 1</w:t>
      </w:r>
      <w:r w:rsidR="001309D2" w:rsidRPr="00097296">
        <w:rPr>
          <w:u w:val="single"/>
        </w:rPr>
        <w:t xml:space="preserve"> clip</w:t>
      </w:r>
      <w:r w:rsidR="00B0008A" w:rsidRPr="00097296">
        <w:rPr>
          <w:u w:val="single"/>
        </w:rPr>
        <w:t xml:space="preserve"> 1a</w:t>
      </w:r>
      <w:r w:rsidR="00097296" w:rsidRPr="00097296">
        <w:t xml:space="preserve"> and </w:t>
      </w:r>
      <w:r w:rsidR="00097296" w:rsidRPr="00097296">
        <w:rPr>
          <w:u w:val="single"/>
        </w:rPr>
        <w:t xml:space="preserve">classroom 2 </w:t>
      </w:r>
      <w:r w:rsidR="00097296">
        <w:rPr>
          <w:u w:val="single"/>
        </w:rPr>
        <w:t xml:space="preserve">clip </w:t>
      </w:r>
      <w:r w:rsidR="00097296" w:rsidRPr="00097296">
        <w:rPr>
          <w:u w:val="single"/>
        </w:rPr>
        <w:t>1a</w:t>
      </w:r>
      <w:r w:rsidR="00B0008A" w:rsidRPr="00097296">
        <w:t xml:space="preserve"> </w:t>
      </w:r>
      <w:r w:rsidR="001309D2">
        <w:t>(linked to</w:t>
      </w:r>
      <w:r w:rsidR="00534DA5">
        <w:t xml:space="preserve"> </w:t>
      </w:r>
      <w:proofErr w:type="spellStart"/>
      <w:r w:rsidR="00534DA5" w:rsidRPr="00534DA5">
        <w:rPr>
          <w:i/>
        </w:rPr>
        <w:t>sadana</w:t>
      </w:r>
      <w:proofErr w:type="spellEnd"/>
      <w:r w:rsidR="00871A83">
        <w:t xml:space="preserve"> video raw footage 4</w:t>
      </w:r>
      <w:r w:rsidR="00534DA5">
        <w:t xml:space="preserve"> time 31:27-31:48;</w:t>
      </w:r>
      <w:r w:rsidR="001309D2" w:rsidRPr="001309D2">
        <w:rPr>
          <w:i/>
        </w:rPr>
        <w:t xml:space="preserve"> </w:t>
      </w:r>
      <w:proofErr w:type="spellStart"/>
      <w:r w:rsidR="001309D2" w:rsidRPr="001309D2">
        <w:rPr>
          <w:i/>
        </w:rPr>
        <w:t>visbal</w:t>
      </w:r>
      <w:proofErr w:type="spellEnd"/>
      <w:r w:rsidR="001309D2">
        <w:t xml:space="preserve"> video part II time </w:t>
      </w:r>
      <w:r w:rsidR="001309D2" w:rsidRPr="001309D2">
        <w:t>09:02-09:15</w:t>
      </w:r>
      <w:r w:rsidR="001309D2">
        <w:t>)</w:t>
      </w:r>
      <w:r w:rsidR="001309D2" w:rsidRPr="001309D2">
        <w:t>.</w:t>
      </w:r>
    </w:p>
    <w:p w:rsidR="00202639" w:rsidRDefault="00427D4E" w:rsidP="00202639">
      <w:pPr>
        <w:pStyle w:val="ListParagraph"/>
        <w:numPr>
          <w:ilvl w:val="0"/>
          <w:numId w:val="1"/>
        </w:numPr>
      </w:pPr>
      <w:r>
        <w:t xml:space="preserve">Pick </w:t>
      </w:r>
      <w:r w:rsidR="001309D2">
        <w:t>four</w:t>
      </w:r>
      <w:r w:rsidR="003866EF">
        <w:t xml:space="preserve"> </w:t>
      </w:r>
      <w:r w:rsidR="00097296">
        <w:t xml:space="preserve">to eight </w:t>
      </w:r>
      <w:r w:rsidR="003866EF">
        <w:t xml:space="preserve">students </w:t>
      </w:r>
      <w:r w:rsidR="001309D2">
        <w:t xml:space="preserve">to </w:t>
      </w:r>
      <w:r w:rsidR="007F1642">
        <w:t xml:space="preserve">form an electron transport chain (ETC). </w:t>
      </w:r>
      <w:r w:rsidR="001309D2">
        <w:t xml:space="preserve">Each student’s height represents their free energy level. </w:t>
      </w:r>
      <w:r w:rsidR="007F1642">
        <w:t xml:space="preserve">Ask the students to form a line in the order that allows the electrons to </w:t>
      </w:r>
      <w:r w:rsidR="001309D2">
        <w:t>pass</w:t>
      </w:r>
      <w:r w:rsidR="007F1642">
        <w:t xml:space="preserve"> from the first to the last without any investment of energy.</w:t>
      </w:r>
      <w:r w:rsidR="00D407A0">
        <w:t xml:space="preserve"> Students will form a line of tall to short in height. If two students are of equal height, you should switch one with someone else from the audience.</w:t>
      </w:r>
      <w:r w:rsidR="003866EF">
        <w:t xml:space="preserve"> See </w:t>
      </w:r>
      <w:r w:rsidR="00097296" w:rsidRPr="00097296">
        <w:rPr>
          <w:u w:val="single"/>
        </w:rPr>
        <w:t>classroom 2 clip</w:t>
      </w:r>
      <w:r w:rsidR="00B0008A" w:rsidRPr="00097296">
        <w:rPr>
          <w:u w:val="single"/>
        </w:rPr>
        <w:t xml:space="preserve"> 1b</w:t>
      </w:r>
      <w:r w:rsidR="001309D2">
        <w:t xml:space="preserve"> (linked to </w:t>
      </w:r>
      <w:proofErr w:type="spellStart"/>
      <w:r w:rsidR="001309D2" w:rsidRPr="00B0008A">
        <w:rPr>
          <w:i/>
        </w:rPr>
        <w:t>visbal</w:t>
      </w:r>
      <w:proofErr w:type="spellEnd"/>
      <w:r w:rsidR="001309D2">
        <w:t xml:space="preserve"> video </w:t>
      </w:r>
      <w:r w:rsidR="001309D2" w:rsidRPr="001309D2">
        <w:t>part II time 10:39-11:59)</w:t>
      </w:r>
      <w:r w:rsidR="003866EF" w:rsidRPr="001309D2">
        <w:t>.</w:t>
      </w:r>
    </w:p>
    <w:p w:rsidR="00943504" w:rsidRDefault="00B0008A" w:rsidP="00202639">
      <w:pPr>
        <w:pStyle w:val="ListParagraph"/>
        <w:numPr>
          <w:ilvl w:val="0"/>
          <w:numId w:val="1"/>
        </w:numPr>
      </w:pPr>
      <w:r>
        <w:t xml:space="preserve">The instructor will act as NADH who carries electrons from glycolysis and citric acid cycle. </w:t>
      </w:r>
      <w:r w:rsidR="004418FD">
        <w:t xml:space="preserve">Pass </w:t>
      </w:r>
      <w:r>
        <w:t>coins</w:t>
      </w:r>
      <w:r w:rsidR="004418FD">
        <w:t xml:space="preserve"> t</w:t>
      </w:r>
      <w:r>
        <w:t>o the first student as the beginning of the electron transport chain</w:t>
      </w:r>
      <w:r w:rsidR="004418FD">
        <w:t xml:space="preserve">. Now the student will pass the electron down the chain until it reaches the oxygen gas. </w:t>
      </w:r>
      <w:r w:rsidR="00097296">
        <w:t>See</w:t>
      </w:r>
      <w:r>
        <w:t xml:space="preserve"> </w:t>
      </w:r>
      <w:r w:rsidR="00097296">
        <w:rPr>
          <w:u w:val="single"/>
        </w:rPr>
        <w:t>classroom 2</w:t>
      </w:r>
      <w:r w:rsidRPr="00B0008A">
        <w:rPr>
          <w:u w:val="single"/>
        </w:rPr>
        <w:t xml:space="preserve"> clip</w:t>
      </w:r>
      <w:r>
        <w:rPr>
          <w:u w:val="single"/>
        </w:rPr>
        <w:t xml:space="preserve"> 1c</w:t>
      </w:r>
      <w:r>
        <w:t xml:space="preserve"> (linked to </w:t>
      </w:r>
      <w:proofErr w:type="spellStart"/>
      <w:r w:rsidRPr="00B0008A">
        <w:rPr>
          <w:i/>
        </w:rPr>
        <w:t>visbal</w:t>
      </w:r>
      <w:proofErr w:type="spellEnd"/>
      <w:r>
        <w:t xml:space="preserve"> video part II time 12:07-12:46). </w:t>
      </w:r>
    </w:p>
    <w:p w:rsidR="004418FD" w:rsidRDefault="004418FD" w:rsidP="004418FD">
      <w:pPr>
        <w:pStyle w:val="ListParagraph"/>
      </w:pPr>
    </w:p>
    <w:p w:rsidR="004418FD" w:rsidRDefault="003866EF" w:rsidP="004418FD">
      <w:pPr>
        <w:pStyle w:val="ListParagraph"/>
      </w:pPr>
      <w:r>
        <w:t>TBL based f</w:t>
      </w:r>
      <w:r w:rsidR="0027291F">
        <w:t xml:space="preserve">ormative assessment: The audience answers three questions based on Act 1 in the TBL format. See sample questions </w:t>
      </w:r>
      <w:r w:rsidR="00B0008A">
        <w:rPr>
          <w:u w:val="single"/>
        </w:rPr>
        <w:t>set 1</w:t>
      </w:r>
      <w:r w:rsidR="0027291F">
        <w:t>.</w:t>
      </w:r>
    </w:p>
    <w:p w:rsidR="0027291F" w:rsidRDefault="0027291F" w:rsidP="004418FD">
      <w:pPr>
        <w:pStyle w:val="ListParagraph"/>
        <w:ind w:left="0"/>
      </w:pPr>
    </w:p>
    <w:p w:rsidR="0027291F" w:rsidRDefault="0027291F" w:rsidP="004418FD">
      <w:pPr>
        <w:pStyle w:val="ListParagraph"/>
        <w:ind w:left="0"/>
      </w:pPr>
    </w:p>
    <w:p w:rsidR="0027291F" w:rsidRDefault="0027291F" w:rsidP="004418FD">
      <w:pPr>
        <w:pStyle w:val="ListParagraph"/>
        <w:ind w:left="0"/>
      </w:pPr>
    </w:p>
    <w:p w:rsidR="004418FD" w:rsidRDefault="004418FD" w:rsidP="004418FD">
      <w:pPr>
        <w:pStyle w:val="ListParagraph"/>
        <w:ind w:left="0"/>
        <w:rPr>
          <w:b/>
        </w:rPr>
      </w:pPr>
      <w:r w:rsidRPr="0027291F">
        <w:rPr>
          <w:b/>
        </w:rPr>
        <w:t xml:space="preserve">Act 2: </w:t>
      </w:r>
      <w:r w:rsidR="00C40611" w:rsidRPr="0027291F">
        <w:rPr>
          <w:b/>
        </w:rPr>
        <w:t>The structure of mitochondrion and oxidative phosphorylation</w:t>
      </w:r>
    </w:p>
    <w:p w:rsidR="0027291F" w:rsidRPr="0027291F" w:rsidRDefault="0027291F" w:rsidP="004418FD">
      <w:pPr>
        <w:pStyle w:val="ListParagraph"/>
        <w:ind w:left="0"/>
        <w:rPr>
          <w:b/>
        </w:rPr>
      </w:pPr>
    </w:p>
    <w:p w:rsidR="00C40611" w:rsidRDefault="00B14919" w:rsidP="00C40611">
      <w:pPr>
        <w:pStyle w:val="ListParagraph"/>
        <w:numPr>
          <w:ilvl w:val="0"/>
          <w:numId w:val="2"/>
        </w:numPr>
      </w:pPr>
      <w:r>
        <w:t xml:space="preserve">Divide the classroom into two compartments representing the intermembrane space and the mitochondria matrix. </w:t>
      </w:r>
    </w:p>
    <w:p w:rsidR="00B14919" w:rsidRDefault="00B14919" w:rsidP="00C40611">
      <w:pPr>
        <w:pStyle w:val="ListParagraph"/>
        <w:numPr>
          <w:ilvl w:val="0"/>
          <w:numId w:val="2"/>
        </w:numPr>
      </w:pPr>
      <w:r>
        <w:lastRenderedPageBreak/>
        <w:t xml:space="preserve">All students who remain on their seats are hydrogen ions. </w:t>
      </w:r>
    </w:p>
    <w:p w:rsidR="00B14919" w:rsidRDefault="00B14919" w:rsidP="00C40611">
      <w:pPr>
        <w:pStyle w:val="ListParagraph"/>
        <w:numPr>
          <w:ilvl w:val="0"/>
          <w:numId w:val="2"/>
        </w:numPr>
      </w:pPr>
      <w:r>
        <w:t xml:space="preserve">Ask the role play students to form a line in the same order </w:t>
      </w:r>
      <w:r w:rsidR="00D03579">
        <w:t xml:space="preserve">as in </w:t>
      </w:r>
      <w:r>
        <w:t xml:space="preserve">act 1 at the border (as the inner membrane of mitochondrion) between the two spaces. </w:t>
      </w:r>
    </w:p>
    <w:p w:rsidR="00B14919" w:rsidRDefault="00B14919" w:rsidP="00B14919">
      <w:pPr>
        <w:pStyle w:val="ListParagraph"/>
      </w:pPr>
    </w:p>
    <w:p w:rsidR="00B14919" w:rsidRDefault="0027291F" w:rsidP="00B14919">
      <w:pPr>
        <w:pStyle w:val="ListParagraph"/>
      </w:pPr>
      <w:r>
        <w:t>(Recommended</w:t>
      </w:r>
      <w:r w:rsidR="00B14919">
        <w:t>) You may draw a mitochondrion on the board to explain the structure and the position of the participants.</w:t>
      </w:r>
      <w:r>
        <w:t xml:space="preserve"> Label each component on the board map to help students visualize the role play.</w:t>
      </w:r>
    </w:p>
    <w:p w:rsidR="00B14919" w:rsidRDefault="00B14919" w:rsidP="00B14919">
      <w:pPr>
        <w:pStyle w:val="ListParagraph"/>
      </w:pPr>
    </w:p>
    <w:p w:rsidR="00B14919" w:rsidRDefault="00C871DD" w:rsidP="00B0008A">
      <w:pPr>
        <w:pStyle w:val="ListParagraph"/>
        <w:numPr>
          <w:ilvl w:val="0"/>
          <w:numId w:val="2"/>
        </w:numPr>
      </w:pPr>
      <w:r>
        <w:t xml:space="preserve">Pass </w:t>
      </w:r>
      <w:r w:rsidR="00B0008A">
        <w:t>coins</w:t>
      </w:r>
      <w:r>
        <w:t xml:space="preserve"> to the first student. While the electron is passed down the cytochrome complexes, instruct each complex to transport a hydrogen ion (a student in the audience) from the mitochondrion matrix to the intermembrane space. Keep doing this until one side of the classroom is filled up with students.</w:t>
      </w:r>
      <w:r w:rsidR="0027291F">
        <w:t xml:space="preserve"> </w:t>
      </w:r>
      <w:r w:rsidR="00B0008A">
        <w:t>Explain what happens to the class, especially the concept of selectively permeable membrane, potential energy and the proton motive force.</w:t>
      </w:r>
      <w:r w:rsidR="00B0008A" w:rsidRPr="001309D2">
        <w:t xml:space="preserve"> </w:t>
      </w:r>
      <w:r w:rsidR="00A45DA3">
        <w:t>See</w:t>
      </w:r>
      <w:r w:rsidR="00B0008A">
        <w:t xml:space="preserve"> </w:t>
      </w:r>
      <w:r w:rsidR="00A45DA3">
        <w:rPr>
          <w:u w:val="single"/>
        </w:rPr>
        <w:t xml:space="preserve">classroom 1 clip 2a </w:t>
      </w:r>
      <w:r w:rsidR="00A45DA3" w:rsidRPr="00A45DA3">
        <w:t>and</w:t>
      </w:r>
      <w:r w:rsidR="00A45DA3">
        <w:rPr>
          <w:u w:val="single"/>
        </w:rPr>
        <w:t xml:space="preserve"> classroom 2</w:t>
      </w:r>
      <w:r w:rsidR="009C4128">
        <w:rPr>
          <w:u w:val="single"/>
        </w:rPr>
        <w:t xml:space="preserve"> clip 2</w:t>
      </w:r>
      <w:r w:rsidR="00B0008A" w:rsidRPr="00B0008A">
        <w:rPr>
          <w:u w:val="single"/>
        </w:rPr>
        <w:t>a</w:t>
      </w:r>
      <w:r w:rsidR="00B0008A">
        <w:t xml:space="preserve"> (</w:t>
      </w:r>
      <w:r w:rsidR="00B0008A" w:rsidRPr="00B0008A">
        <w:t>linked t</w:t>
      </w:r>
      <w:r w:rsidR="009C4128">
        <w:t xml:space="preserve">o </w:t>
      </w:r>
      <w:proofErr w:type="spellStart"/>
      <w:r w:rsidR="00097296" w:rsidRPr="00097296">
        <w:rPr>
          <w:i/>
        </w:rPr>
        <w:t>sadana</w:t>
      </w:r>
      <w:proofErr w:type="spellEnd"/>
      <w:r w:rsidR="00097296">
        <w:t xml:space="preserve"> raw footage 5 time 30:20-33:50; </w:t>
      </w:r>
      <w:proofErr w:type="spellStart"/>
      <w:r w:rsidR="009C4128" w:rsidRPr="006E0906">
        <w:rPr>
          <w:i/>
        </w:rPr>
        <w:t>visbal</w:t>
      </w:r>
      <w:proofErr w:type="spellEnd"/>
      <w:r w:rsidR="009C4128">
        <w:t xml:space="preserve"> part 2</w:t>
      </w:r>
      <w:r w:rsidR="00B0008A" w:rsidRPr="00B0008A">
        <w:t xml:space="preserve"> time </w:t>
      </w:r>
      <w:r w:rsidR="009C4128">
        <w:t>13:15</w:t>
      </w:r>
      <w:r w:rsidR="00B0008A" w:rsidRPr="00B0008A">
        <w:t>-15:08).</w:t>
      </w:r>
    </w:p>
    <w:p w:rsidR="0027291F" w:rsidRDefault="0027291F" w:rsidP="0027291F">
      <w:pPr>
        <w:pStyle w:val="ListParagraph"/>
      </w:pPr>
    </w:p>
    <w:p w:rsidR="00BD4AC8" w:rsidRDefault="00BD4AC8" w:rsidP="00BD4AC8">
      <w:pPr>
        <w:pStyle w:val="ListParagraph"/>
      </w:pPr>
      <w:r>
        <w:t>(</w:t>
      </w:r>
      <w:r w:rsidR="0027291F">
        <w:t>Recommended)</w:t>
      </w:r>
      <w:r>
        <w:t xml:space="preserve"> You want to accumulate enough students </w:t>
      </w:r>
      <w:r w:rsidR="0027291F">
        <w:t>at</w:t>
      </w:r>
      <w:r>
        <w:t xml:space="preserve"> one side so that they feel very uncomfortable and really want to go back to their seats. </w:t>
      </w:r>
    </w:p>
    <w:p w:rsidR="0027291F" w:rsidRDefault="0027291F" w:rsidP="00BD4AC8">
      <w:pPr>
        <w:pStyle w:val="ListParagraph"/>
      </w:pPr>
    </w:p>
    <w:p w:rsidR="00DC794C" w:rsidRDefault="00097296" w:rsidP="00B14919">
      <w:pPr>
        <w:pStyle w:val="ListParagraph"/>
        <w:numPr>
          <w:ilvl w:val="0"/>
          <w:numId w:val="2"/>
        </w:numPr>
      </w:pPr>
      <w:r>
        <w:t>The instructor or a student wil</w:t>
      </w:r>
      <w:r w:rsidR="00DC794C">
        <w:t xml:space="preserve">l be the ATP </w:t>
      </w:r>
      <w:proofErr w:type="spellStart"/>
      <w:r w:rsidR="00DC794C">
        <w:t>synthetase</w:t>
      </w:r>
      <w:proofErr w:type="spellEnd"/>
      <w:r w:rsidR="00DC794C">
        <w:t>. You</w:t>
      </w:r>
      <w:r>
        <w:t xml:space="preserve"> can rotate or </w:t>
      </w:r>
      <w:r w:rsidR="00DC794C">
        <w:t xml:space="preserve">act like a tumbler that allows </w:t>
      </w:r>
      <w:r>
        <w:t>the hydrogen ions to pass</w:t>
      </w:r>
      <w:r w:rsidR="00DC794C">
        <w:t xml:space="preserve"> by pushing </w:t>
      </w:r>
      <w:r w:rsidR="0027291F">
        <w:t>your</w:t>
      </w:r>
      <w:r w:rsidR="00DC794C">
        <w:t xml:space="preserve"> arms around to generate ATP.</w:t>
      </w:r>
      <w:r w:rsidR="0027291F">
        <w:t xml:space="preserve"> See</w:t>
      </w:r>
      <w:r w:rsidR="009C4128">
        <w:t xml:space="preserve"> </w:t>
      </w:r>
      <w:r w:rsidR="006E0906" w:rsidRPr="006E0906">
        <w:rPr>
          <w:u w:val="single"/>
        </w:rPr>
        <w:t>classroom 1</w:t>
      </w:r>
      <w:r w:rsidR="009C4128" w:rsidRPr="006E0906">
        <w:rPr>
          <w:u w:val="single"/>
        </w:rPr>
        <w:t xml:space="preserve"> clip 2b</w:t>
      </w:r>
      <w:r w:rsidR="006E0906" w:rsidRPr="006E0906">
        <w:rPr>
          <w:u w:val="single"/>
        </w:rPr>
        <w:t xml:space="preserve"> </w:t>
      </w:r>
      <w:r w:rsidR="006E0906" w:rsidRPr="006E0906">
        <w:t>and</w:t>
      </w:r>
      <w:r w:rsidR="006E0906" w:rsidRPr="006E0906">
        <w:rPr>
          <w:u w:val="single"/>
        </w:rPr>
        <w:t xml:space="preserve"> classroom 2 clip 2b</w:t>
      </w:r>
      <w:r w:rsidR="009C4128">
        <w:t xml:space="preserve"> (linked to </w:t>
      </w:r>
      <w:proofErr w:type="spellStart"/>
      <w:r w:rsidRPr="006E0906">
        <w:rPr>
          <w:i/>
        </w:rPr>
        <w:t>sadana</w:t>
      </w:r>
      <w:proofErr w:type="spellEnd"/>
      <w:r>
        <w:t xml:space="preserve"> raw footage 5</w:t>
      </w:r>
      <w:r w:rsidR="00871A83">
        <w:t xml:space="preserve"> time 33:30-33:52; </w:t>
      </w:r>
      <w:proofErr w:type="spellStart"/>
      <w:r w:rsidR="009C4128" w:rsidRPr="006E0906">
        <w:rPr>
          <w:i/>
        </w:rPr>
        <w:t>visbal</w:t>
      </w:r>
      <w:proofErr w:type="spellEnd"/>
      <w:r w:rsidR="009C4128" w:rsidRPr="006E0906">
        <w:rPr>
          <w:i/>
        </w:rPr>
        <w:t xml:space="preserve"> </w:t>
      </w:r>
      <w:r w:rsidR="009C4128">
        <w:t xml:space="preserve">part 2 </w:t>
      </w:r>
      <w:r w:rsidR="009C4128" w:rsidRPr="006E0906">
        <w:t>time</w:t>
      </w:r>
      <w:r w:rsidR="0027291F" w:rsidRPr="006E0906">
        <w:t xml:space="preserve"> </w:t>
      </w:r>
      <w:r w:rsidR="001309D2" w:rsidRPr="006E0906">
        <w:t>16:00-16:33</w:t>
      </w:r>
      <w:r w:rsidR="009C4128" w:rsidRPr="006E0906">
        <w:t>)</w:t>
      </w:r>
      <w:r w:rsidR="0027291F" w:rsidRPr="006E0906">
        <w:t>.</w:t>
      </w:r>
    </w:p>
    <w:p w:rsidR="005D3EF1" w:rsidRDefault="005D3EF1" w:rsidP="00B14919">
      <w:pPr>
        <w:pStyle w:val="ListParagraph"/>
        <w:numPr>
          <w:ilvl w:val="0"/>
          <w:numId w:val="2"/>
        </w:numPr>
      </w:pPr>
      <w:r>
        <w:t xml:space="preserve">Once all hydrogen ions pass and reach </w:t>
      </w:r>
      <w:r w:rsidR="0027291F">
        <w:t>equal</w:t>
      </w:r>
      <w:r>
        <w:t xml:space="preserve"> concentration</w:t>
      </w:r>
      <w:r w:rsidR="0027291F">
        <w:t>s</w:t>
      </w:r>
      <w:r>
        <w:t xml:space="preserve"> on both sides, ask students to reflect on what changes have occurred. </w:t>
      </w:r>
    </w:p>
    <w:p w:rsidR="0027291F" w:rsidRDefault="0027291F" w:rsidP="0027291F">
      <w:pPr>
        <w:ind w:left="360"/>
      </w:pPr>
      <w:r>
        <w:t xml:space="preserve">TBL based formative assessment: All students answer three questions based on Act 2 in the TBL format. See sample questions </w:t>
      </w:r>
      <w:r w:rsidR="00B0008A">
        <w:rPr>
          <w:u w:val="single"/>
        </w:rPr>
        <w:t>set 2</w:t>
      </w:r>
      <w:r>
        <w:t>.</w:t>
      </w:r>
    </w:p>
    <w:p w:rsidR="005D3EF1" w:rsidRDefault="005D3EF1" w:rsidP="005D3EF1"/>
    <w:p w:rsidR="001A6005" w:rsidRDefault="001A6005" w:rsidP="001A6005">
      <w:r>
        <w:rPr>
          <w:b/>
        </w:rPr>
        <w:t>Act 3: Oxidative phosphorylation at multiple sites</w:t>
      </w:r>
      <w:r w:rsidR="00B0008A">
        <w:rPr>
          <w:b/>
        </w:rPr>
        <w:t xml:space="preserve"> (optional)</w:t>
      </w:r>
    </w:p>
    <w:p w:rsidR="001A6005" w:rsidRDefault="001A6005" w:rsidP="00B0008A">
      <w:r>
        <w:t xml:space="preserve">Student participates in Act 1 and 2 will be the directors of Act 3 to replay </w:t>
      </w:r>
      <w:r w:rsidR="00B0008A">
        <w:t>Act 2 in their respective group using props including a set of double sided cards and a table size board of a mitochondrion drawing. Down</w:t>
      </w:r>
      <w:r w:rsidR="009C4128">
        <w:t xml:space="preserve">load sample cards </w:t>
      </w:r>
      <w:r w:rsidR="00B0008A">
        <w:rPr>
          <w:u w:val="single"/>
        </w:rPr>
        <w:t>3a</w:t>
      </w:r>
      <w:r w:rsidR="00B0008A">
        <w:t>.</w:t>
      </w:r>
    </w:p>
    <w:p w:rsidR="001A6005" w:rsidRDefault="001A6005" w:rsidP="001A6005">
      <w:r>
        <w:t xml:space="preserve">TBL based formative assessment: All groups will answer a series of application questions on oxidative phosphorylation. See sample questions </w:t>
      </w:r>
      <w:r w:rsidR="00B0008A">
        <w:rPr>
          <w:u w:val="single"/>
        </w:rPr>
        <w:t>set 3</w:t>
      </w:r>
      <w:r>
        <w:t>.</w:t>
      </w:r>
    </w:p>
    <w:p w:rsidR="009C4128" w:rsidRDefault="009C4128" w:rsidP="001A6005"/>
    <w:p w:rsidR="009C4128" w:rsidRDefault="009C4128" w:rsidP="001A6005"/>
    <w:p w:rsidR="009C4128" w:rsidRDefault="009C4128" w:rsidP="001A6005"/>
    <w:p w:rsidR="009C4128" w:rsidRDefault="009C4128" w:rsidP="001A6005"/>
    <w:p w:rsidR="009C4128" w:rsidRDefault="009C4128" w:rsidP="001A6005">
      <w:bookmarkStart w:id="0" w:name="_GoBack"/>
      <w:bookmarkEnd w:id="0"/>
    </w:p>
    <w:sectPr w:rsidR="009C41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5B1" w:rsidRDefault="005345B1" w:rsidP="001A6005">
      <w:pPr>
        <w:spacing w:after="0" w:line="240" w:lineRule="auto"/>
      </w:pPr>
      <w:r>
        <w:separator/>
      </w:r>
    </w:p>
  </w:endnote>
  <w:endnote w:type="continuationSeparator" w:id="0">
    <w:p w:rsidR="005345B1" w:rsidRDefault="005345B1" w:rsidP="001A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5B1" w:rsidRDefault="005345B1" w:rsidP="001A6005">
      <w:pPr>
        <w:spacing w:after="0" w:line="240" w:lineRule="auto"/>
      </w:pPr>
      <w:r>
        <w:separator/>
      </w:r>
    </w:p>
  </w:footnote>
  <w:footnote w:type="continuationSeparator" w:id="0">
    <w:p w:rsidR="005345B1" w:rsidRDefault="005345B1" w:rsidP="001A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05" w:rsidRDefault="001A60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7F5"/>
    <w:multiLevelType w:val="hybridMultilevel"/>
    <w:tmpl w:val="250A3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1EC0"/>
    <w:multiLevelType w:val="hybridMultilevel"/>
    <w:tmpl w:val="D766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A38"/>
    <w:multiLevelType w:val="hybridMultilevel"/>
    <w:tmpl w:val="67709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417EF"/>
    <w:multiLevelType w:val="hybridMultilevel"/>
    <w:tmpl w:val="88DE3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D368F"/>
    <w:multiLevelType w:val="hybridMultilevel"/>
    <w:tmpl w:val="67709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14CA7"/>
    <w:multiLevelType w:val="hybridMultilevel"/>
    <w:tmpl w:val="2F26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C1109"/>
    <w:multiLevelType w:val="hybridMultilevel"/>
    <w:tmpl w:val="88DE3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60663"/>
    <w:multiLevelType w:val="hybridMultilevel"/>
    <w:tmpl w:val="3F6A1D22"/>
    <w:lvl w:ilvl="0" w:tplc="850211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855997"/>
    <w:multiLevelType w:val="hybridMultilevel"/>
    <w:tmpl w:val="1674AF6C"/>
    <w:lvl w:ilvl="0" w:tplc="EE20F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DB"/>
    <w:rsid w:val="00097296"/>
    <w:rsid w:val="000B14DB"/>
    <w:rsid w:val="001309D2"/>
    <w:rsid w:val="00174F80"/>
    <w:rsid w:val="001A6005"/>
    <w:rsid w:val="002014FC"/>
    <w:rsid w:val="00202639"/>
    <w:rsid w:val="0027291F"/>
    <w:rsid w:val="002A1A6D"/>
    <w:rsid w:val="002E2C81"/>
    <w:rsid w:val="003866EF"/>
    <w:rsid w:val="003F5F22"/>
    <w:rsid w:val="00427D4E"/>
    <w:rsid w:val="004402A1"/>
    <w:rsid w:val="004418FD"/>
    <w:rsid w:val="00510EB4"/>
    <w:rsid w:val="005345B1"/>
    <w:rsid w:val="00534DA5"/>
    <w:rsid w:val="005B46B4"/>
    <w:rsid w:val="005D3EF1"/>
    <w:rsid w:val="006E0906"/>
    <w:rsid w:val="007F1642"/>
    <w:rsid w:val="00871A83"/>
    <w:rsid w:val="00943504"/>
    <w:rsid w:val="009C4128"/>
    <w:rsid w:val="00A45DA3"/>
    <w:rsid w:val="00A53CCC"/>
    <w:rsid w:val="00A77DF3"/>
    <w:rsid w:val="00B0008A"/>
    <w:rsid w:val="00B14919"/>
    <w:rsid w:val="00B570F5"/>
    <w:rsid w:val="00BD4AC8"/>
    <w:rsid w:val="00C40611"/>
    <w:rsid w:val="00C871DD"/>
    <w:rsid w:val="00CF73FE"/>
    <w:rsid w:val="00D03579"/>
    <w:rsid w:val="00D25B51"/>
    <w:rsid w:val="00D407A0"/>
    <w:rsid w:val="00DC794C"/>
    <w:rsid w:val="00EC109B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F9C93D-05F0-4213-BD5E-4F982E6D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6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005"/>
  </w:style>
  <w:style w:type="paragraph" w:styleId="Footer">
    <w:name w:val="footer"/>
    <w:basedOn w:val="Normal"/>
    <w:link w:val="FooterChar"/>
    <w:uiPriority w:val="99"/>
    <w:unhideWhenUsed/>
    <w:rsid w:val="001A6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005"/>
  </w:style>
  <w:style w:type="paragraph" w:styleId="BalloonText">
    <w:name w:val="Balloon Text"/>
    <w:basedOn w:val="Normal"/>
    <w:link w:val="BalloonTextChar"/>
    <w:uiPriority w:val="99"/>
    <w:semiHidden/>
    <w:unhideWhenUsed/>
    <w:rsid w:val="001A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C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97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BA7DE21B7CC4088B41059A8957907" ma:contentTypeVersion="5" ma:contentTypeDescription="Create a new document." ma:contentTypeScope="" ma:versionID="00ca0da728ebb7725e0af32842f4d62c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0fd258b1-5cb8-4271-a52b-c20a16dc38f6" targetNamespace="http://schemas.microsoft.com/office/2006/metadata/properties" ma:root="true" ma:fieldsID="988ce0e010174988b4e810c399f546c3" ns1:_="" ns2:_="" ns3:_="">
    <xsd:import namespace="http://schemas.microsoft.com/sharepoint/v3"/>
    <xsd:import namespace="b62c105e-54b3-4ef8-b3f9-f838c3cdd5c4"/>
    <xsd:import namespace="0fd258b1-5cb8-4271-a52b-c20a16dc38f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258b1-5cb8-4271-a52b-c20a16dc38f6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2441c5d3144b6cbe30961404f9687a xmlns="b62c105e-54b3-4ef8-b3f9-f838c3cdd5c4">
      <Terms xmlns="http://schemas.microsoft.com/office/infopath/2007/PartnerControls"/>
    </he2441c5d3144b6cbe30961404f9687a>
    <ParentListItemID xmlns="0fd258b1-5cb8-4271-a52b-c20a16dc38f6" xsi:nil="true"/>
    <PublishingExpirationDate xmlns="http://schemas.microsoft.com/sharepoint/v3" xsi:nil="true"/>
    <PublishingStartDate xmlns="http://schemas.microsoft.com/sharepoint/v3" xsi:nil="true"/>
    <TaxCatchAll xmlns="b62c105e-54b3-4ef8-b3f9-f838c3cdd5c4"/>
  </documentManagement>
</p:properties>
</file>

<file path=customXml/itemProps1.xml><?xml version="1.0" encoding="utf-8"?>
<ds:datastoreItem xmlns:ds="http://schemas.openxmlformats.org/officeDocument/2006/customXml" ds:itemID="{BDE38D54-E48E-472B-BC09-6FF92FA4E387}"/>
</file>

<file path=customXml/itemProps2.xml><?xml version="1.0" encoding="utf-8"?>
<ds:datastoreItem xmlns:ds="http://schemas.openxmlformats.org/officeDocument/2006/customXml" ds:itemID="{FFBBDFEA-F854-4231-A7C0-24B1DFD5E2C1}"/>
</file>

<file path=customXml/itemProps3.xml><?xml version="1.0" encoding="utf-8"?>
<ds:datastoreItem xmlns:ds="http://schemas.openxmlformats.org/officeDocument/2006/customXml" ds:itemID="{31735EC5-CDC3-4F8A-AB20-041196B74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Kang, Yuan Yuan</dc:creator>
  <cp:lastModifiedBy>Sadana, Rachna</cp:lastModifiedBy>
  <cp:revision>2</cp:revision>
  <dcterms:created xsi:type="dcterms:W3CDTF">2015-06-26T15:50:00Z</dcterms:created>
  <dcterms:modified xsi:type="dcterms:W3CDTF">2015-06-26T15:50:00Z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0x010100D0CBA7DE21B7CC4088B41059A8957907</vt:lpwstr>
  </property>
  <property fmtid="{D5CDD505-2E9C-101B-9397-08002B2CF9AE}" pid="3" name="UHD Tag">
    <vt:lpwstr/>
  </property>
</Properties>
</file>